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Согласие на обработку персональных данных</w:t>
      </w:r>
    </w:p>
    <w:p>
      <w:pPr>
        <w:spacing w:after="120"/>
        <w:jc w:val="center"/>
      </w:pPr>
      <w:r>
        <w:rPr>
          <w:rFonts w:ascii="Arial" w:cs="Arial" w:eastAsia="Arial" w:hAnsi="Arial"/>
          <w:color w:val="777777"/>
          <w:sz w:val="19"/>
          <w:szCs w:val="19"/>
        </w:rPr>
        <w:t xml:space="preserve">ООО «Ботсарми» • ОГРН 1257700140334 • ИНН 7743468377</w:t>
      </w:r>
    </w:p>
    <w:p>
      <w:pPr>
        <w:spacing w:after="500"/>
        <w:jc w:val="center"/>
      </w:pPr>
      <w:r>
        <w:rPr>
          <w:rFonts w:ascii="Arial" w:cs="Arial" w:eastAsia="Arial" w:hAnsi="Arial"/>
          <w:color w:val="BBBBBB"/>
          <w:sz w:val="18"/>
          <w:szCs w:val="18"/>
        </w:rPr>
        <w:t xml:space="preserve">Редакция от 02.03.2026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Настоящее Согласие даётся Пользователем сервиса Профит Бот (далее — Сервис), включающего публичный сайт https://profit-bot.tech и Личный кабинет https://lk.profit-bot.tech, оператору персональных данных — ООО «Ботсарми», ОГРН 1257700140334, ИНН 7743468377 (далее — Оператор).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Согласие предоставляется свободно, своей волей и в своём интересе в соответствии со ст. 9 Федерального закона от 27.07.2006 № 152-ФЗ «О персональных данных». Проставляя отметку (чекбокс) при регистрации в Личном кабинете, Пользователь подтверждает, что ознакомлен с настоящим Согласием и Политикой конфиденциальности (https://profit-bot.tech/privacy) и принимает их условия.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Согласие распространяется на Пользователя — физическое лицо, а также на физических лиц, чьи персональные данные предоставляет Пользователь — юридическое лицо или индивидуальный предприниматель (руководитель, представитель, контактное лицо); в последнем случае Пользователь подтверждает наличие полномочий и оснований для передачи таких данных Оператору.</w:t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1. ПЕРЕЧЕНЬ ПЕРСОНАЛЬНЫХ ДАННЫХ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Пользователь даёт согласие на обработку следующих персональных данных: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фамилия, имя, отчество;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адрес электронной почты;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номер телефона;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реквизиты компании (для юридических лиц и индивидуальных предпринимателей): наименование организации или ИП, ИНН, КПП, ОГРН/ОГРНИП, юридический адрес, банковские реквизиты;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данные о платежах и подписке;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настройки интеграций (WhatsApp, Telegram, Avito, Мессенджер MAX, amoCRM, Битрикс24);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технические данные об устройстве и браузере, получаемые при использовании Сервиса.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Данные банковской карты в полном объёме Оператором не обрабатываются и не хранятся: при подключении оплаты используется защищённый токен, предоставляемый платёжным оператором.</w:t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2. ДЕЙСТВИЯ С ПЕРСОНАЛЬНЫМИ ДАННЫМИ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Согласие даётся на совершение следующих действий с персональными данными — как с использованием средств автоматизации, так и без их использования: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3. ЦЕЛИ ОБРАБОТКИ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Обработка персональных данных осуществляется в следующих целях: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предоставление доступа к Сервису и идентификация Пользователя;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подтверждение входа и операций через одноразовые коды (двухфакторная аутентификация);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обработка оплаты и автоплатежей, формирование счетов и актов;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хранение реквизитов компании для оформления договоров и закрывающих документов;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направление уведомлений об оплате, состоянии подписки, предстоящих списаниях и изменениях условий Сервиса;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техническая поддержка и обработка обращений;</w:t>
      </w:r>
    </w:p>
    <w:p>
      <w:pPr>
        <w:spacing w:after="60"/>
        <w:ind w:left="360"/>
      </w:pPr>
      <w:r>
        <w:rPr>
          <w:rFonts w:ascii="Arial" w:cs="Arial" w:eastAsia="Arial" w:hAnsi="Arial"/>
          <w:sz w:val="22"/>
          <w:szCs w:val="22"/>
        </w:rPr>
        <w:t xml:space="preserve">– защита от мошенничества и обеспечение безопасности.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Передача персональных данных третьим лицам осуществляется только в объёме, необходимом для исполнения договора (платёжным операторам, операторам связи), либо в случаях, прямо предусмотренных законодательством РФ.</w:t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4. РЕКЛАМНЫЕ И МАРКЕТИНГОВЫЕ РАССЫЛКИ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Согласие на получение рекламных и маркетинговых рассылок (акции, новые тарифы, обновления продукта) предоставляется отдельно — путём проставления соответствующего чекбокса при регистрации в Личном кабинете — и не является обязательным условием использования Сервиса. Отказаться от рекламных рассылок можно в любое время в настройках Личного кабинета или по ссылке «Отписаться» в письме.</w:t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5. СРОК ДЕЙСТВИЯ И ХРАНЕНИЕ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Согласие действует в течение срока действия договора с Пользователем. Реквизиты компании хранятся в течение 5 лет после прекращения договора в соответствии с требованиями законодательства о бухгалтерском учёте. По достижении целей обработки, истечении указанных сроков или утрате необходимости в обработке персональные данные подлежат уничтожению либо обезличиванию, если иное не предусмотрено федеральным законом.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Базы данных хранятся на серверах на территории Российской Федерации. Оператор применяет технические и организационные меры для защиты данных от несанкционированного доступа, изменения и распространения.</w:t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6. ОТЗЫВ СОГЛАСИЯ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Согласие может быть отозвано в любое время путём направления письменного заявления на адрес электронной почты службы поддержки, указанный на Сайте. В случае отзыва согласия Оператор вправе продолжить обработку персональных данных без согласия Пользователя при наличии оснований, предусмотренных пп. 2–11 ч. 1 ст. 6, ч. 2 ст. 10 и ч. 2 ст. 11 Федерального закона № 152-ФЗ (в частности, для исполнения договора или соблюдения требований законодательства).</w:t>
      </w:r>
    </w:p>
    <w:p>
      <w:pPr>
        <w:spacing w:after="160"/>
      </w:pPr>
      <w:r>
        <w:rPr>
          <w:rFonts w:ascii="Arial" w:cs="Arial" w:eastAsia="Arial" w:hAnsi="Arial"/>
          <w:sz w:val="22"/>
          <w:szCs w:val="22"/>
        </w:rPr>
        <w:t xml:space="preserve">Пользователь также вправе запросить информацию об обрабатываемых данных, потребовать их исправления или удаления, а также обратиться с жалобой в Роскомнадзор: https://rkn.gov.ru.</w:t>
      </w:r>
    </w:p>
    <w:p>
      <w:pPr>
        <w:pStyle w:val="Heading2"/>
        <w:spacing w:before="300" w:after="12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7. ЗАКЛЮЧИТЕЛЬНЫЕ ПОЛОЖЕНИЯ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Порядок и условия обработки персональных данных подробно изложены в Политике конфиденциальности, доступной по адресу https://profit-bot.tech/privacy. Оператор вправе обновлять настоящее Согласие; актуальная редакция размещается на Сайте.</w:t>
      </w:r>
    </w:p>
    <w:p>
      <w:pPr>
        <w:pBdr>
          <w:top w:val="single" w:color="CCCCCC" w:sz="4" w:space="6"/>
        </w:pBdr>
        <w:spacing w:before="400"/>
      </w:pPr>
      <w:r>
        <w:rPr>
          <w:rFonts w:ascii="Arial" w:cs="Arial" w:eastAsia="Arial" w:hAnsi="Arial"/>
          <w:color w:val="BBBBBB"/>
          <w:sz w:val="17"/>
          <w:szCs w:val="17"/>
        </w:rPr>
        <w:t xml:space="preserve">ООО «Ботсарми» • https://profit-bot.tech • https://lk.profit-bot.tech • ОГРН 1257700140334 • ИНН 7743468377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00" w:after="20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F386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2026-03-02T07:25:58.479Z</dcterms:created>
  <dcterms:modified xsi:type="dcterms:W3CDTF">2026-03-02T07:25:58.479Z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